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rPr>
      </w:pPr>
      <w:bookmarkStart w:id="0" w:name="_GoBack"/>
      <w:r>
        <w:rPr>
          <w:rFonts w:hint="eastAsia" w:ascii="仿宋" w:hAnsi="仿宋" w:eastAsia="仿宋" w:cs="仿宋"/>
          <w:b/>
          <w:bCs/>
          <w:sz w:val="32"/>
          <w:szCs w:val="40"/>
        </w:rPr>
        <w:t>支持县域民营经济发展产品及服务大赛</w:t>
      </w:r>
    </w:p>
    <w:p>
      <w:pPr>
        <w:jc w:val="center"/>
        <w:rPr>
          <w:rFonts w:hint="eastAsia" w:ascii="仿宋" w:hAnsi="仿宋" w:eastAsia="仿宋" w:cs="仿宋"/>
          <w:b/>
          <w:bCs/>
          <w:sz w:val="32"/>
          <w:szCs w:val="40"/>
        </w:rPr>
      </w:pPr>
      <w:r>
        <w:rPr>
          <w:rFonts w:hint="eastAsia" w:ascii="仿宋" w:hAnsi="仿宋" w:eastAsia="仿宋" w:cs="仿宋"/>
          <w:b/>
          <w:bCs/>
          <w:sz w:val="32"/>
          <w:szCs w:val="40"/>
        </w:rPr>
        <w:t>证券期货类评选指标</w:t>
      </w:r>
      <w:bookmarkEnd w:id="0"/>
    </w:p>
    <w:p>
      <w:pPr>
        <w:jc w:val="center"/>
        <w:rPr>
          <w:rFonts w:hint="eastAsia" w:ascii="仿宋" w:hAnsi="仿宋" w:eastAsia="仿宋" w:cs="仿宋"/>
          <w:sz w:val="28"/>
          <w:szCs w:val="36"/>
        </w:rPr>
      </w:pPr>
      <w:r>
        <w:rPr>
          <w:rFonts w:hint="eastAsia" w:ascii="仿宋" w:hAnsi="仿宋" w:eastAsia="仿宋" w:cs="仿宋"/>
          <w:sz w:val="28"/>
          <w:szCs w:val="36"/>
        </w:rPr>
        <w:t>（数据统计周期：2016年1月1日至2018年12月31日）</w:t>
      </w:r>
    </w:p>
    <w:p>
      <w:pPr>
        <w:rPr>
          <w:rFonts w:hint="eastAsia" w:ascii="仿宋" w:hAnsi="仿宋" w:eastAsia="仿宋" w:cs="仿宋"/>
          <w:b/>
          <w:bCs/>
          <w:sz w:val="32"/>
          <w:szCs w:val="40"/>
        </w:rPr>
      </w:pPr>
      <w:r>
        <w:rPr>
          <w:rFonts w:hint="eastAsia" w:ascii="仿宋" w:hAnsi="仿宋" w:eastAsia="仿宋" w:cs="仿宋"/>
          <w:b/>
          <w:bCs/>
          <w:sz w:val="32"/>
          <w:szCs w:val="40"/>
        </w:rPr>
        <w:t>一、基本原则</w:t>
      </w:r>
    </w:p>
    <w:p>
      <w:pPr>
        <w:rPr>
          <w:rFonts w:hint="eastAsia" w:ascii="仿宋" w:hAnsi="仿宋" w:eastAsia="仿宋" w:cs="仿宋"/>
          <w:sz w:val="32"/>
          <w:szCs w:val="40"/>
        </w:rPr>
      </w:pPr>
      <w:r>
        <w:rPr>
          <w:rFonts w:hint="eastAsia" w:ascii="仿宋" w:hAnsi="仿宋" w:eastAsia="仿宋" w:cs="仿宋"/>
          <w:sz w:val="32"/>
          <w:szCs w:val="40"/>
        </w:rPr>
        <w:t>1. 对参与机构不设立评级门槛</w:t>
      </w:r>
    </w:p>
    <w:p>
      <w:pPr>
        <w:rPr>
          <w:rFonts w:hint="eastAsia" w:ascii="仿宋" w:hAnsi="仿宋" w:eastAsia="仿宋" w:cs="仿宋"/>
          <w:sz w:val="32"/>
          <w:szCs w:val="40"/>
        </w:rPr>
      </w:pPr>
      <w:r>
        <w:rPr>
          <w:rFonts w:hint="eastAsia" w:ascii="仿宋" w:hAnsi="仿宋" w:eastAsia="仿宋" w:cs="仿宋"/>
          <w:sz w:val="32"/>
          <w:szCs w:val="40"/>
        </w:rPr>
        <w:t>2. 鼓励参与机构向县域民营经济倾斜</w:t>
      </w:r>
    </w:p>
    <w:p>
      <w:pPr>
        <w:rPr>
          <w:rFonts w:hint="eastAsia" w:ascii="仿宋" w:hAnsi="仿宋" w:eastAsia="仿宋" w:cs="仿宋"/>
          <w:sz w:val="32"/>
          <w:szCs w:val="40"/>
        </w:rPr>
      </w:pPr>
      <w:r>
        <w:rPr>
          <w:rFonts w:hint="eastAsia" w:ascii="仿宋" w:hAnsi="仿宋" w:eastAsia="仿宋" w:cs="仿宋"/>
          <w:sz w:val="32"/>
          <w:szCs w:val="40"/>
        </w:rPr>
        <w:t>3. 参评单位：在自治区内设立机构的各家证券公司和期货公司总公司及其分公司、子公司、营业部。</w:t>
      </w:r>
    </w:p>
    <w:p>
      <w:pPr>
        <w:rPr>
          <w:rFonts w:hint="eastAsia" w:ascii="仿宋" w:hAnsi="仿宋" w:eastAsia="仿宋" w:cs="仿宋"/>
          <w:sz w:val="32"/>
          <w:szCs w:val="40"/>
        </w:rPr>
      </w:pPr>
      <w:r>
        <w:rPr>
          <w:rFonts w:hint="eastAsia" w:ascii="仿宋" w:hAnsi="仿宋" w:eastAsia="仿宋" w:cs="仿宋"/>
          <w:sz w:val="32"/>
          <w:szCs w:val="40"/>
        </w:rPr>
        <w:t>4. 实施范围：以内蒙古自治区县域金融工程试点地区的民营经济主体为主</w:t>
      </w:r>
    </w:p>
    <w:p>
      <w:pPr>
        <w:rPr>
          <w:rFonts w:hint="eastAsia" w:ascii="仿宋" w:hAnsi="仿宋" w:eastAsia="仿宋" w:cs="仿宋"/>
          <w:b/>
          <w:bCs/>
          <w:sz w:val="32"/>
          <w:szCs w:val="40"/>
        </w:rPr>
      </w:pPr>
      <w:r>
        <w:rPr>
          <w:rFonts w:hint="eastAsia" w:ascii="仿宋" w:hAnsi="仿宋" w:eastAsia="仿宋" w:cs="仿宋"/>
          <w:b/>
          <w:bCs/>
          <w:sz w:val="32"/>
          <w:szCs w:val="40"/>
        </w:rPr>
        <w:t>二、奖项设置和评选标准</w:t>
      </w:r>
    </w:p>
    <w:p>
      <w:pPr>
        <w:rPr>
          <w:rFonts w:hint="eastAsia" w:ascii="仿宋" w:hAnsi="仿宋" w:eastAsia="仿宋" w:cs="仿宋"/>
          <w:sz w:val="32"/>
          <w:szCs w:val="40"/>
        </w:rPr>
      </w:pPr>
      <w:r>
        <w:rPr>
          <w:rFonts w:hint="eastAsia" w:ascii="仿宋" w:hAnsi="仿宋" w:eastAsia="仿宋" w:cs="仿宋"/>
          <w:sz w:val="32"/>
          <w:szCs w:val="40"/>
        </w:rPr>
        <w:t>1. 伯乐之星</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按照参评单位在评选地区开展推荐/辅导企业在境内外上市、证监局IPO辅导备案、全国中小企业股份转让系统挂牌、内蒙古股权交易中心孵化板挂牌、股份制改造数量进行评选。</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功勋之星</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按照参评单位在评选地区所开展的融资业务数量和金额进行综合评选，融资业务包括但不限于中小企业私募债、资产证券化、产业基金等。</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启迪之星</w:t>
      </w:r>
    </w:p>
    <w:p>
      <w:pPr>
        <w:rPr>
          <w:rFonts w:hint="eastAsia" w:ascii="仿宋" w:hAnsi="仿宋" w:eastAsia="仿宋" w:cs="仿宋"/>
          <w:sz w:val="32"/>
          <w:szCs w:val="40"/>
        </w:rPr>
      </w:pPr>
      <w:r>
        <w:rPr>
          <w:rFonts w:hint="eastAsia" w:ascii="仿宋" w:hAnsi="仿宋" w:eastAsia="仿宋" w:cs="仿宋"/>
          <w:sz w:val="32"/>
          <w:szCs w:val="40"/>
        </w:rPr>
        <w:t xml:space="preserve">   按照参评单位在评选地区所开展的面向基层干部、民营企业、群众所开展的培训内容、数量和覆盖人次进行综合评选。 </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首创之星</w:t>
      </w:r>
    </w:p>
    <w:p>
      <w:pPr>
        <w:rPr>
          <w:rFonts w:hint="eastAsia" w:ascii="仿宋" w:hAnsi="仿宋" w:eastAsia="仿宋" w:cs="仿宋"/>
          <w:sz w:val="32"/>
          <w:szCs w:val="40"/>
        </w:rPr>
      </w:pPr>
      <w:r>
        <w:rPr>
          <w:rFonts w:hint="eastAsia" w:ascii="仿宋" w:hAnsi="仿宋" w:eastAsia="仿宋" w:cs="仿宋"/>
          <w:sz w:val="32"/>
          <w:szCs w:val="40"/>
        </w:rPr>
        <w:t xml:space="preserve">   按照参评单位在评选地区所开展的各项创新业务进行评选，要求参评单位在产品、服务等运作模式方面有显著创新，使金融服务水平明显提高，并具有普及推广价值。由各参评单位提交2000字以内文字申报材料详细阐述。创新业务包括但不限于期货公司的保险+期货产品、证券公司与当地政府共同设立产业引导基金/纾困基金等。</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先锋之星</w:t>
      </w:r>
    </w:p>
    <w:p>
      <w:pPr>
        <w:ind w:firstLine="640"/>
        <w:rPr>
          <w:rFonts w:hint="eastAsia" w:ascii="仿宋" w:hAnsi="仿宋" w:eastAsia="仿宋" w:cs="仿宋"/>
          <w:sz w:val="32"/>
          <w:szCs w:val="40"/>
        </w:rPr>
      </w:pPr>
      <w:r>
        <w:rPr>
          <w:rFonts w:hint="eastAsia" w:ascii="仿宋" w:hAnsi="仿宋" w:eastAsia="仿宋" w:cs="仿宋"/>
          <w:sz w:val="32"/>
          <w:szCs w:val="40"/>
        </w:rPr>
        <w:t>按照参评单位报送在评选地区所开展的各项扶持民营经济的典型案例进行择优评选，由各参评单位提交2000字以内文字申报材料详细阐述，同一参评单位可报送多个案例。</w:t>
      </w:r>
    </w:p>
    <w:p>
      <w:pPr>
        <w:numPr>
          <w:ilvl w:val="0"/>
          <w:numId w:val="1"/>
        </w:numPr>
        <w:rPr>
          <w:rFonts w:hint="eastAsia" w:ascii="仿宋" w:hAnsi="仿宋" w:eastAsia="仿宋" w:cs="仿宋"/>
          <w:sz w:val="32"/>
          <w:szCs w:val="40"/>
        </w:rPr>
      </w:pPr>
      <w:r>
        <w:rPr>
          <w:rFonts w:hint="eastAsia" w:ascii="仿宋" w:hAnsi="仿宋" w:eastAsia="仿宋" w:cs="仿宋"/>
          <w:sz w:val="32"/>
          <w:szCs w:val="40"/>
        </w:rPr>
        <w:t>加分项：</w:t>
      </w:r>
    </w:p>
    <w:p>
      <w:pPr>
        <w:numPr>
          <w:ilvl w:val="0"/>
          <w:numId w:val="2"/>
        </w:numPr>
        <w:rPr>
          <w:rFonts w:hint="eastAsia" w:ascii="仿宋" w:hAnsi="仿宋" w:eastAsia="仿宋" w:cs="仿宋"/>
          <w:sz w:val="32"/>
          <w:szCs w:val="40"/>
        </w:rPr>
      </w:pPr>
      <w:r>
        <w:rPr>
          <w:rFonts w:hint="eastAsia" w:ascii="仿宋" w:hAnsi="仿宋" w:eastAsia="仿宋" w:cs="仿宋"/>
          <w:sz w:val="32"/>
          <w:szCs w:val="40"/>
        </w:rPr>
        <w:t>中国证券业协会“一司一县”、“一县一企”机构</w:t>
      </w:r>
    </w:p>
    <w:p>
      <w:pPr>
        <w:numPr>
          <w:ilvl w:val="0"/>
          <w:numId w:val="2"/>
        </w:numPr>
        <w:rPr>
          <w:rFonts w:hint="eastAsia" w:ascii="仿宋" w:hAnsi="仿宋" w:eastAsia="仿宋" w:cs="仿宋"/>
          <w:sz w:val="32"/>
          <w:szCs w:val="40"/>
        </w:rPr>
      </w:pPr>
      <w:r>
        <w:rPr>
          <w:rFonts w:hint="eastAsia" w:ascii="仿宋" w:hAnsi="仿宋" w:eastAsia="仿宋" w:cs="仿宋"/>
          <w:sz w:val="32"/>
          <w:szCs w:val="40"/>
        </w:rPr>
        <w:t>与评选地区、自治区国家级贫困县重点企业签订结对帮扶协议机构</w:t>
      </w:r>
    </w:p>
    <w:p>
      <w:pPr>
        <w:rPr>
          <w:rFonts w:hint="eastAsia" w:ascii="仿宋" w:hAnsi="仿宋" w:eastAsia="仿宋" w:cs="仿宋"/>
          <w:sz w:val="32"/>
          <w:szCs w:val="4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F46AE"/>
    <w:multiLevelType w:val="singleLevel"/>
    <w:tmpl w:val="FC6F46AE"/>
    <w:lvl w:ilvl="0" w:tentative="0">
      <w:start w:val="2"/>
      <w:numFmt w:val="decimal"/>
      <w:suff w:val="space"/>
      <w:lvlText w:val="%1."/>
      <w:lvlJc w:val="left"/>
    </w:lvl>
  </w:abstractNum>
  <w:abstractNum w:abstractNumId="1">
    <w:nsid w:val="60A51EE5"/>
    <w:multiLevelType w:val="singleLevel"/>
    <w:tmpl w:val="60A51E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27DB6"/>
    <w:rsid w:val="53927DB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2019-01-04T07:49:00Z</dcterms:created>
  <dc:creator>lenovo</dc:creator>
  <cp:lastModifiedBy>lenovo</cp:lastModifiedBy>
  <dcterms:modified xsi:type="dcterms:W3CDTF">2019-01-04T07:54:30Z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